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ликвидации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инспекции государственного строительного надзора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протокольного поручения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</w:t>
        <w:br/>
        <w:t xml:space="preserve">в Еврейской автономной области от 20.09.2023 № 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6"/>
        <w:contextualSpacing w:val="0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1. Ликвидировать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 с 15.02.2024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: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инспекцию государственного </w:t>
      </w:r>
      <w:bookmarkStart w:id="0" w:name="_GoBack"/>
      <w:r/>
      <w:bookmarkEnd w:id="0"/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строительного надзора Еврейской автономной области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государственную жилищную инспекцию Еврейской автономной области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P15"/>
      <w:r/>
      <w:bookmarkEnd w:id="1"/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Передать </w:t>
      </w:r>
      <w:r>
        <w:rPr>
          <w:rFonts w:ascii="Times New Roman" w:hAnsi="Times New Roman"/>
          <w:sz w:val="28"/>
          <w:szCs w:val="28"/>
        </w:rPr>
        <w:t xml:space="preserve">инспекции государственного строительного и жилищного надзора Еврейской автономной  области</w:t>
      </w:r>
      <w:r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sz w:val="28"/>
          <w:szCs w:val="28"/>
        </w:rPr>
        <w:t xml:space="preserve">ликвидируемых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инспекции государственного строительного надзора Еврейской автономной области;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3. Государственной жилищной инспекции Еврейской автономной области: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в течение 3 рабочих дней после даты принятия настоящего постановления нап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равить письменное сообщение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в течение 5 раб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очих дней со дня принятия настоящего постановления подготовить проект распоряжения правительства Еврейской автономной области о назначении ликвидационной комиссии, порядке и сроках ликвидации государственной жилищной инспекции Еврейской автономной области;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в установленном порядке опубликовать в журнале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Вестник государственной регист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рации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 уведомление о ликвидации.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4. 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нспекции государственного строительного надзора Еврейской автономной области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в течение 3 рабочих дней после даты принятия настоящего постановления нап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равить письменное сообщение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в течение 5 рабочих дней со д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ня принятия настоящего постановления подготовить проект распоряжения правительства Еврейской автономной области о назначении ликвидационной комиссии, порядке и сроках ликвидации инспекции государственного строительного надзора Еврейской автономной области;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в установленном порядке опубликовать в журнале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«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Вестник государственной регистрации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 уведомление о ликвидации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. Управлению государственной службы и кадровой политики Еврейской автономной области в срок до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15.02.2024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 провести организационно-штатные мероприятия в соответствии с законодательством Российской Федерации в отношении: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  - лиц,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области;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- государственных гражданских служащих 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инспекции государственного строительного надзора Еврейской автономной области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pStyle w:val="870"/>
        <w:ind w:firstLine="709"/>
        <w:jc w:val="both"/>
        <w:rPr>
          <w:rFonts w:ascii="Times New Roman" w:hAnsi="Times New Roman" w:eastAsiaTheme="minorHAnsi" w:cstheme="minorBidi"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6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. Финансирование расходов, связанных с реализацией настоящего постановления, осуществлять за счет средств областного бюджета, предусмотренных на содержание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  <w:t xml:space="preserve">инспекции государственного строительного надзора Еврейской автономной области. </w:t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Внести в </w:t>
      </w:r>
      <w:hyperlink r:id="rId9" w:tooltip="consultantplus://offline/ref=6E0689B810736AAD7554BCF75BBDD1CF1F2E4016D1533B9C997814EE359723FDA38D9064FDFF423810EE77627F7CC2BD72DE455D151DC8A9B1DEF5t6ID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структуру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Еврейской автономной области, утвержденную постановлением губернатора Еврейской автономной области от 16.11.2015 № 314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системе и структуре исполнительных органов государственной власти Еврейской автономной области и составе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следующее изменение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10" w:tooltip="consultantplus://offline/ref=6E0689B810736AAD7554BCF75BBDD1CF1F2E4016D1533B9C997814EE359723FDA38D9064FDFF423810EE77647F7CC2BD72DE455D151DC8A9B1DEF5t6ID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раздел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 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Иные органы исполнительной власти области, формируемые правитель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ством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пункты 6 </w:t>
        <w:br/>
        <w:t xml:space="preserve">и 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утратившими силу.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Настоящее постановление вступа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 в силу со дня его подписания, за   исключением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пунктов 2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hyperlink w:tooltip="2. Передать департаменту архитектуры и строительства правительства Еврейской автономной области полномочия ликвидируемого департамента жилищно-коммунального хозяйства и энергетики правительства Еврейской автономной области." w:anchor="P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 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постановления вступает в силу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1 января  </w:t>
        <w:br/>
        <w:t xml:space="preserve">2024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вступает в силу со дня внесения в Единый государственный реестр юридических лиц записи о прекращении деятельности: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инспекции государственного строительного надзора Еврейской автономной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государственной жилищной инспекции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Р.Э. 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32187815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/>
        <w:r/>
      </w:p>
      <w:p>
        <w:pPr>
          <w:pStyle w:val="871"/>
          <w:jc w:val="center"/>
        </w:pPr>
        <w:r/>
        <w:r/>
      </w:p>
      <w:p>
        <w:pPr>
          <w:pStyle w:val="871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</w:r>
      </w:p>
    </w:sdtContent>
  </w:sdt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4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3"/>
    <w:next w:val="863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4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4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4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4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4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4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3"/>
    <w:next w:val="86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4"/>
    <w:link w:val="707"/>
    <w:uiPriority w:val="10"/>
    <w:rPr>
      <w:sz w:val="48"/>
      <w:szCs w:val="48"/>
    </w:rPr>
  </w:style>
  <w:style w:type="paragraph" w:styleId="709">
    <w:name w:val="Subtitle"/>
    <w:basedOn w:val="863"/>
    <w:next w:val="86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4"/>
    <w:link w:val="709"/>
    <w:uiPriority w:val="11"/>
    <w:rPr>
      <w:sz w:val="24"/>
      <w:szCs w:val="24"/>
    </w:rPr>
  </w:style>
  <w:style w:type="paragraph" w:styleId="711">
    <w:name w:val="Quote"/>
    <w:basedOn w:val="863"/>
    <w:next w:val="863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3"/>
    <w:next w:val="863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4"/>
    <w:link w:val="871"/>
    <w:uiPriority w:val="99"/>
  </w:style>
  <w:style w:type="character" w:styleId="716">
    <w:name w:val="Footer Char"/>
    <w:basedOn w:val="864"/>
    <w:link w:val="873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3"/>
    <w:uiPriority w:val="99"/>
  </w:style>
  <w:style w:type="table" w:styleId="719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List Paragraph"/>
    <w:basedOn w:val="863"/>
    <w:uiPriority w:val="34"/>
    <w:qFormat/>
    <w:pPr>
      <w:contextualSpacing/>
      <w:ind w:left="720"/>
    </w:pPr>
  </w:style>
  <w:style w:type="paragraph" w:styleId="868">
    <w:name w:val="Balloon Text"/>
    <w:basedOn w:val="863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4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1">
    <w:name w:val="Header"/>
    <w:basedOn w:val="863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4"/>
    <w:link w:val="871"/>
    <w:uiPriority w:val="99"/>
  </w:style>
  <w:style w:type="paragraph" w:styleId="873">
    <w:name w:val="Footer"/>
    <w:basedOn w:val="863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4"/>
    <w:link w:val="8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6E0689B810736AAD7554BCF75BBDD1CF1F2E4016D1533B9C997814EE359723FDA38D9064FDFF423810EE77627F7CC2BD72DE455D151DC8A9B1DEF5t6IDF" TargetMode="External"/><Relationship Id="rId10" Type="http://schemas.openxmlformats.org/officeDocument/2006/relationships/hyperlink" Target="consultantplus://offline/ref=6E0689B810736AAD7554BCF75BBDD1CF1F2E4016D1533B9C997814EE359723FDA38D9064FDFF423810EE77647F7CC2BD72DE455D151DC8A9B1DEF5t6I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Гурулева Екатерина Валерьевна</dc:creator>
  <cp:revision>5</cp:revision>
  <dcterms:created xsi:type="dcterms:W3CDTF">2023-09-24T22:52:00Z</dcterms:created>
  <dcterms:modified xsi:type="dcterms:W3CDTF">2023-09-28T06:12:17Z</dcterms:modified>
</cp:coreProperties>
</file>